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libspectre 0.2.12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 Timothy O. Theisen</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Jose E. Marchesi</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Albert Astals Cid &lt;aacid@kde.org&gt;</w:t>
      </w:r>
    </w:p>
    <w:p w:rsidR="00075918" w:rsidRPr="00075918" w:rsidRDefault="00075918" w:rsidP="00075918">
      <w:r w:rsidRPr="00075918">
        <w:rPr>
          <w:rFonts w:hint="eastAsia"/>
        </w:rPr>
        <w:t xml:space="preserve">Copyright (C) 2007 Carlos Garcia Campos &lt;carlosgc@gnome.org&gt;</w:t>
      </w:r>
    </w:p>
    <w:p w:rsidR="00075918" w:rsidRPr="00075918" w:rsidRDefault="00075918" w:rsidP="00075918">
      <w:r w:rsidRPr="00075918">
        <w:rPr>
          <w:rFonts w:hint="eastAsia"/>
        </w:rPr>
        <w:t xml:space="preserve">Copyright (C) 2007, 2023 Albert Astals Cid &lt;aacid@kde.org&gt;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